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3F9D" w14:textId="77777777" w:rsidR="00F5046C" w:rsidRDefault="00F5046C" w:rsidP="009225CF">
      <w:pPr>
        <w:spacing w:after="0"/>
        <w:rPr>
          <w:sz w:val="40"/>
          <w:szCs w:val="40"/>
        </w:rPr>
      </w:pPr>
    </w:p>
    <w:p w14:paraId="3E97E481" w14:textId="77777777" w:rsidR="004F1B70" w:rsidRPr="00B505E4" w:rsidRDefault="004F1B70" w:rsidP="004F1B70">
      <w:pPr>
        <w:spacing w:after="0"/>
        <w:rPr>
          <w:sz w:val="40"/>
          <w:szCs w:val="40"/>
        </w:rPr>
      </w:pPr>
      <w:bookmarkStart w:id="0" w:name="_GoBack"/>
      <w:r w:rsidRPr="009225CF">
        <w:rPr>
          <w:sz w:val="40"/>
          <w:szCs w:val="40"/>
        </w:rPr>
        <w:t xml:space="preserve">Consultation on </w:t>
      </w:r>
      <w:r>
        <w:rPr>
          <w:sz w:val="40"/>
          <w:szCs w:val="40"/>
        </w:rPr>
        <w:t>Hazardous Substances Safe Work Instruments Response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5D4C71" w:rsidRPr="00244383" w14:paraId="1CA81BD7" w14:textId="77777777" w:rsidTr="00880FA4">
        <w:tc>
          <w:tcPr>
            <w:tcW w:w="10682" w:type="dxa"/>
            <w:shd w:val="clear" w:color="auto" w:fill="F2F2F2" w:themeFill="background1" w:themeFillShade="F2"/>
            <w:tcMar>
              <w:top w:w="57" w:type="dxa"/>
            </w:tcMar>
          </w:tcPr>
          <w:p w14:paraId="627AAFF0" w14:textId="77777777" w:rsidR="004F1B70" w:rsidRPr="00654E77" w:rsidRDefault="004F1B70" w:rsidP="004F1B70">
            <w:pPr>
              <w:spacing w:after="60" w:line="240" w:lineRule="atLeast"/>
              <w:rPr>
                <w:lang w:val="en-US"/>
              </w:rPr>
            </w:pPr>
            <w:bookmarkStart w:id="1" w:name="SW0000"/>
            <w:bookmarkEnd w:id="0"/>
            <w:r w:rsidRPr="00654E77">
              <w:rPr>
                <w:lang w:val="en-US"/>
              </w:rPr>
              <w:t xml:space="preserve">Responses close: </w:t>
            </w:r>
          </w:p>
          <w:p w14:paraId="17BC6561" w14:textId="13E5067C" w:rsidR="004F1B70" w:rsidRPr="009225CF" w:rsidRDefault="004F1B70" w:rsidP="004F1B70">
            <w:pPr>
              <w:spacing w:after="120" w:line="240" w:lineRule="atLeast"/>
              <w:rPr>
                <w:b/>
                <w:lang w:val="en-US"/>
              </w:rPr>
            </w:pPr>
            <w:r w:rsidRPr="00F03CF4">
              <w:rPr>
                <w:b/>
                <w:lang w:val="en-US"/>
              </w:rPr>
              <w:t xml:space="preserve">5 pm on </w:t>
            </w:r>
            <w:r w:rsidRPr="00F03CF4">
              <w:rPr>
                <w:b/>
                <w:bCs/>
              </w:rPr>
              <w:t xml:space="preserve">Friday </w:t>
            </w:r>
            <w:r w:rsidR="00722D20">
              <w:rPr>
                <w:b/>
                <w:bCs/>
              </w:rPr>
              <w:t xml:space="preserve">27 </w:t>
            </w:r>
            <w:r w:rsidR="003C7EE3">
              <w:rPr>
                <w:b/>
                <w:bCs/>
              </w:rPr>
              <w:t>October</w:t>
            </w:r>
            <w:r w:rsidR="00722D20">
              <w:rPr>
                <w:b/>
                <w:bCs/>
              </w:rPr>
              <w:t xml:space="preserve"> 2017</w:t>
            </w:r>
            <w:r>
              <w:rPr>
                <w:b/>
                <w:lang w:val="en-US"/>
              </w:rPr>
              <w:t xml:space="preserve"> </w:t>
            </w:r>
          </w:p>
          <w:p w14:paraId="3189EFE3" w14:textId="77777777" w:rsidR="004F1B70" w:rsidRPr="00654E77" w:rsidRDefault="004F1B70" w:rsidP="004F1B70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Email to: </w:t>
            </w:r>
          </w:p>
          <w:p w14:paraId="13C4B368" w14:textId="77777777" w:rsidR="004F1B70" w:rsidRDefault="007E71A8" w:rsidP="004F1B70">
            <w:pPr>
              <w:spacing w:after="60" w:line="240" w:lineRule="atLeast"/>
              <w:rPr>
                <w:rStyle w:val="Hyperlink"/>
              </w:rPr>
            </w:pPr>
            <w:hyperlink r:id="rId9" w:history="1">
              <w:r w:rsidR="004F1B70">
                <w:rPr>
                  <w:rStyle w:val="Hyperlink"/>
                </w:rPr>
                <w:t>Regulatory.Frameworks@worksafe.govt.nz</w:t>
              </w:r>
            </w:hyperlink>
          </w:p>
          <w:p w14:paraId="7C234B62" w14:textId="77777777" w:rsidR="004F1B70" w:rsidRPr="00654E77" w:rsidRDefault="004F1B70" w:rsidP="004F1B70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OR send by post to: </w:t>
            </w:r>
          </w:p>
          <w:p w14:paraId="710FEE0D" w14:textId="77777777" w:rsidR="004F1B70" w:rsidRDefault="004F1B70" w:rsidP="004F1B70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Consultation on </w:t>
            </w:r>
            <w:r w:rsidRPr="00F03CF4">
              <w:rPr>
                <w:lang w:val="en-US"/>
              </w:rPr>
              <w:t>Hazardous Substances Safe Work Instruments</w:t>
            </w:r>
            <w:r>
              <w:rPr>
                <w:lang w:val="en-US"/>
              </w:rPr>
              <w:t>,</w:t>
            </w:r>
          </w:p>
          <w:p w14:paraId="0B2C67E1" w14:textId="77777777" w:rsidR="004F1B70" w:rsidRPr="00654E77" w:rsidRDefault="004F1B70" w:rsidP="004F1B70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WorkSafe New Zealand </w:t>
            </w:r>
            <w:r>
              <w:rPr>
                <w:lang w:val="en-US"/>
              </w:rPr>
              <w:br/>
              <w:t xml:space="preserve">PO Box 165, </w:t>
            </w:r>
            <w:r w:rsidRPr="00654E77">
              <w:rPr>
                <w:lang w:val="en-US"/>
              </w:rPr>
              <w:t xml:space="preserve">WELLINGTON 6140 </w:t>
            </w:r>
            <w:r>
              <w:rPr>
                <w:lang w:val="en-US"/>
              </w:rPr>
              <w:br/>
            </w:r>
            <w:r w:rsidRPr="00654E77">
              <w:rPr>
                <w:lang w:val="en-US"/>
              </w:rPr>
              <w:t xml:space="preserve">Attention: </w:t>
            </w:r>
            <w:r>
              <w:rPr>
                <w:lang w:val="en-US"/>
              </w:rPr>
              <w:t xml:space="preserve">Regulatory Frameworks </w:t>
            </w:r>
          </w:p>
          <w:p w14:paraId="1CA81BD6" w14:textId="4199DFA8" w:rsidR="005D4C71" w:rsidRDefault="004F1B70" w:rsidP="004F1B70">
            <w:pPr>
              <w:spacing w:after="1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Pr="00654E77">
              <w:rPr>
                <w:lang w:val="en-US"/>
              </w:rPr>
              <w:t xml:space="preserve">put </w:t>
            </w:r>
            <w:r w:rsidRPr="003F15E5">
              <w:rPr>
                <w:b/>
                <w:lang w:val="en-US"/>
              </w:rPr>
              <w:t xml:space="preserve">Consultation on </w:t>
            </w:r>
            <w:r w:rsidRPr="00F03CF4">
              <w:rPr>
                <w:b/>
                <w:lang w:val="en-US"/>
              </w:rPr>
              <w:t xml:space="preserve">Hazardous Substances Safe Work Instruments </w:t>
            </w:r>
            <w:r>
              <w:rPr>
                <w:lang w:val="en-US"/>
              </w:rPr>
              <w:t>in the subject line</w:t>
            </w:r>
          </w:p>
        </w:tc>
      </w:tr>
    </w:tbl>
    <w:p w14:paraId="1CA81BD8" w14:textId="1E2BA289" w:rsidR="005D4C71" w:rsidRDefault="00E2284B" w:rsidP="000C662C">
      <w:pPr>
        <w:pStyle w:val="Heading2"/>
      </w:pPr>
      <w:r>
        <w:t>S</w:t>
      </w:r>
      <w:r w:rsidR="00013182">
        <w:rPr>
          <w:caps w:val="0"/>
        </w:rPr>
        <w:t>ubmission on</w:t>
      </w:r>
      <w:r w:rsidR="006462D1">
        <w:t>:</w:t>
      </w:r>
      <w:r w:rsidR="000C662C">
        <w:t xml:space="preserve"> </w:t>
      </w:r>
      <w:r w:rsidR="00770ED4" w:rsidRPr="00770ED4">
        <w:rPr>
          <w:b w:val="0"/>
        </w:rPr>
        <w:t xml:space="preserve">Health and Safety at Work </w:t>
      </w:r>
      <w:r w:rsidR="004F1B70" w:rsidRPr="004F1B70">
        <w:rPr>
          <w:b w:val="0"/>
        </w:rPr>
        <w:t>(Hazardous Substances</w:t>
      </w:r>
      <w:r w:rsidR="004F1B70" w:rsidRPr="004F1B70">
        <w:rPr>
          <w:b w:val="0"/>
        </w:rPr>
        <w:softHyphen/>
      </w:r>
      <w:r w:rsidR="004F1B70" w:rsidRPr="004F1B70">
        <w:rPr>
          <w:b w:val="0"/>
        </w:rPr>
        <w:softHyphen/>
        <w:t>—</w:t>
      </w:r>
      <w:r w:rsidR="00722D20">
        <w:rPr>
          <w:b w:val="0"/>
        </w:rPr>
        <w:t>requirements for charging lpg cylinders other than by approved fillers</w:t>
      </w:r>
      <w:r w:rsidR="004F1B70" w:rsidRPr="004F1B70">
        <w:rPr>
          <w:b w:val="0"/>
        </w:rPr>
        <w:t xml:space="preserve">) </w:t>
      </w:r>
      <w:r w:rsidR="00770ED4" w:rsidRPr="00770ED4">
        <w:rPr>
          <w:b w:val="0"/>
        </w:rPr>
        <w:t>Safe Work Instrument 2017</w:t>
      </w:r>
    </w:p>
    <w:p w14:paraId="135508F7" w14:textId="77777777" w:rsidR="00770ED4" w:rsidRDefault="004573DC" w:rsidP="00880FA4">
      <w:pPr>
        <w:spacing w:line="240" w:lineRule="atLeast"/>
        <w:rPr>
          <w:lang w:val="en-US"/>
        </w:rPr>
      </w:pPr>
      <w:r>
        <w:rPr>
          <w:lang w:val="en-US"/>
        </w:rPr>
        <w:t>Please use this respons</w:t>
      </w:r>
      <w:r w:rsidR="00815C0E">
        <w:rPr>
          <w:lang w:val="en-US"/>
        </w:rPr>
        <w:t>e form to record your feedback.</w:t>
      </w:r>
      <w:r>
        <w:rPr>
          <w:lang w:val="en-US"/>
        </w:rPr>
        <w:t xml:space="preserve"> </w:t>
      </w:r>
    </w:p>
    <w:p w14:paraId="1CA81BDB" w14:textId="408235C3" w:rsidR="002F22D5" w:rsidRDefault="002F22D5" w:rsidP="00880FA4">
      <w:pPr>
        <w:spacing w:line="240" w:lineRule="atLeast"/>
        <w:rPr>
          <w:lang w:val="en-US"/>
        </w:rPr>
      </w:pPr>
      <w:r>
        <w:rPr>
          <w:lang w:val="en-US"/>
        </w:rPr>
        <w:t>If you are mailing your submission please add your contact</w:t>
      </w:r>
      <w:r w:rsidR="00815C0E">
        <w:rPr>
          <w:lang w:val="en-US"/>
        </w:rPr>
        <w:t xml:space="preserve"> details in the space provided.</w:t>
      </w:r>
      <w:r>
        <w:rPr>
          <w:lang w:val="en-US"/>
        </w:rPr>
        <w:t xml:space="preserve"> If you are emailing back this document, please add an email signature or similar with your contact information.</w:t>
      </w:r>
    </w:p>
    <w:tbl>
      <w:tblPr>
        <w:tblStyle w:val="TableGrid"/>
        <w:tblW w:w="0" w:type="auto"/>
        <w:tblBorders>
          <w:top w:val="single" w:sz="4" w:space="0" w:color="303E5C"/>
          <w:left w:val="none" w:sz="0" w:space="0" w:color="auto"/>
          <w:bottom w:val="single" w:sz="4" w:space="0" w:color="303E5C"/>
          <w:right w:val="none" w:sz="0" w:space="0" w:color="auto"/>
          <w:insideH w:val="single" w:sz="4" w:space="0" w:color="303E5C"/>
          <w:insideV w:val="single" w:sz="4" w:space="0" w:color="303E5C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14:paraId="1CA81BDE" w14:textId="77777777" w:rsidTr="00790A62">
        <w:tc>
          <w:tcPr>
            <w:tcW w:w="5341" w:type="dxa"/>
          </w:tcPr>
          <w:p w14:paraId="1CA81BDC" w14:textId="0B807FFD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Name of responder </w:t>
            </w:r>
            <w:r w:rsidR="00EC70D9">
              <w:rPr>
                <w:lang w:val="en-US"/>
              </w:rPr>
              <w:t>(</w:t>
            </w:r>
            <w:r w:rsidR="00EC70D9" w:rsidRPr="006F0DA1">
              <w:rPr>
                <w:lang w:val="en-US"/>
              </w:rPr>
              <w:t>or contact for joint response</w:t>
            </w:r>
            <w:r w:rsidR="00EC70D9">
              <w:rPr>
                <w:lang w:val="en-US"/>
              </w:rPr>
              <w:t>)</w:t>
            </w:r>
            <w:r w:rsidR="00EC70D9" w:rsidRPr="006F0DA1">
              <w:rPr>
                <w:lang w:val="en-US"/>
              </w:rPr>
              <w:t>:</w:t>
            </w:r>
          </w:p>
        </w:tc>
        <w:tc>
          <w:tcPr>
            <w:tcW w:w="5341" w:type="dxa"/>
          </w:tcPr>
          <w:p w14:paraId="1CA81BDD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1" w14:textId="77777777" w:rsidTr="00790A62">
        <w:tc>
          <w:tcPr>
            <w:tcW w:w="5341" w:type="dxa"/>
          </w:tcPr>
          <w:p w14:paraId="1CA81BDF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Organisation name (and position if on behalf of an organisation):</w:t>
            </w:r>
          </w:p>
        </w:tc>
        <w:tc>
          <w:tcPr>
            <w:tcW w:w="5341" w:type="dxa"/>
          </w:tcPr>
          <w:p w14:paraId="1CA81BE0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4" w14:textId="77777777" w:rsidTr="00770ED4">
        <w:trPr>
          <w:trHeight w:val="60"/>
        </w:trPr>
        <w:tc>
          <w:tcPr>
            <w:tcW w:w="5341" w:type="dxa"/>
          </w:tcPr>
          <w:p w14:paraId="1CA81BE2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1CA81BE3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7" w14:textId="77777777" w:rsidTr="00790A62">
        <w:tc>
          <w:tcPr>
            <w:tcW w:w="5341" w:type="dxa"/>
          </w:tcPr>
          <w:p w14:paraId="1CA81BE5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6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0" w14:textId="77777777" w:rsidTr="00790A62">
        <w:tc>
          <w:tcPr>
            <w:tcW w:w="5341" w:type="dxa"/>
          </w:tcPr>
          <w:p w14:paraId="1CA81BEE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F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3" w14:textId="77777777" w:rsidTr="00790A62">
        <w:tc>
          <w:tcPr>
            <w:tcW w:w="5341" w:type="dxa"/>
          </w:tcPr>
          <w:p w14:paraId="1CA81BF1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1CA81BF2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6" w14:textId="77777777" w:rsidTr="00790A62">
        <w:tc>
          <w:tcPr>
            <w:tcW w:w="5341" w:type="dxa"/>
          </w:tcPr>
          <w:p w14:paraId="1CA81BF4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1CA81BF5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6AFC" w14:paraId="6821D0B5" w14:textId="77777777" w:rsidTr="00790A62">
        <w:tc>
          <w:tcPr>
            <w:tcW w:w="5341" w:type="dxa"/>
          </w:tcPr>
          <w:p w14:paraId="503BDDDE" w14:textId="68F2E0E2" w:rsidR="000E6AFC" w:rsidRPr="006F0DA1" w:rsidRDefault="00722D20" w:rsidP="00722D20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Do you currently use the LPGA training programme to become an approved filler, or to enable your staff to become approved fillers?  </w:t>
            </w:r>
            <w:r w:rsidR="004F1B70"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5341" w:type="dxa"/>
          </w:tcPr>
          <w:p w14:paraId="23BB6BC3" w14:textId="77777777" w:rsidR="000E6AFC" w:rsidRDefault="000E6AFC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1CA81BF7" w14:textId="6ED2407B" w:rsidR="00BD722E" w:rsidRDefault="007E71A8" w:rsidP="00880FA4">
      <w:pPr>
        <w:spacing w:before="120" w:line="24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0D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14:paraId="1CA81BF8" w14:textId="0CE17FAD" w:rsidR="00BD722E" w:rsidRDefault="002F27AD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</w:t>
      </w:r>
      <w:r w:rsidR="00815C0E">
        <w:rPr>
          <w:lang w:val="en-US"/>
        </w:rPr>
        <w:t xml:space="preserve">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be removed only if you have indicated this as your preference in the tick box above.</w:t>
      </w:r>
      <w:r w:rsidR="00815C0E">
        <w:rPr>
          <w:lang w:val="en-US"/>
        </w:rPr>
        <w:t xml:space="preserve"> </w:t>
      </w:r>
    </w:p>
    <w:p w14:paraId="1CA81BF9" w14:textId="31DA855E" w:rsidR="00A41D40" w:rsidRDefault="008C0278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</w:t>
      </w:r>
      <w:r w:rsidR="00790A62">
        <w:rPr>
          <w:lang w:val="en-US"/>
        </w:rPr>
        <w:t xml:space="preserve"> your response on its website:</w:t>
      </w:r>
      <w:r>
        <w:rPr>
          <w:lang w:val="en-US"/>
        </w:rPr>
        <w:t xml:space="preserve"> </w:t>
      </w:r>
      <w:hyperlink r:id="rId10" w:history="1">
        <w:r w:rsidR="00790A62" w:rsidRPr="00FA7D18">
          <w:rPr>
            <w:rStyle w:val="Hyperlink"/>
          </w:rPr>
          <w:t>www.worksafe.govt.nz</w:t>
        </w:r>
      </w:hyperlink>
      <w:r w:rsidR="00790A62">
        <w:br/>
      </w:r>
      <w:r>
        <w:rPr>
          <w:lang w:val="en-US"/>
        </w:rPr>
        <w:t xml:space="preserve">We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14:paraId="5CB11231" w14:textId="77777777" w:rsidR="00F5046C" w:rsidRDefault="00F5046C" w:rsidP="00880FA4">
      <w:pPr>
        <w:spacing w:line="240" w:lineRule="atLeast"/>
        <w:rPr>
          <w:lang w:val="en-US"/>
        </w:rPr>
      </w:pPr>
    </w:p>
    <w:p w14:paraId="1013DA24" w14:textId="77777777" w:rsidR="00F5046C" w:rsidRDefault="00F5046C" w:rsidP="00880FA4">
      <w:pPr>
        <w:spacing w:line="240" w:lineRule="atLeas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244D76" w:rsidRPr="00E018C9" w14:paraId="1CA81BFB" w14:textId="77777777" w:rsidTr="0009155B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  <w:right w:w="57" w:type="dxa"/>
            </w:tcMar>
          </w:tcPr>
          <w:p w14:paraId="1CA81BFA" w14:textId="77777777" w:rsidR="00244D76" w:rsidRPr="00815C0E" w:rsidRDefault="00244D76" w:rsidP="002F7577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815C0E">
              <w:rPr>
                <w:b/>
                <w:color w:val="FFFFFF" w:themeColor="background1"/>
                <w:lang w:val="en-US"/>
              </w:rPr>
              <w:lastRenderedPageBreak/>
              <w:t>General comments</w:t>
            </w:r>
          </w:p>
        </w:tc>
      </w:tr>
      <w:tr w:rsidR="00244D76" w14:paraId="1CA81C27" w14:textId="77777777" w:rsidTr="0009155B">
        <w:tc>
          <w:tcPr>
            <w:tcW w:w="10631" w:type="dxa"/>
            <w:tcBorders>
              <w:top w:val="nil"/>
              <w:bottom w:val="nil"/>
            </w:tcBorders>
          </w:tcPr>
          <w:p w14:paraId="1CA81BFC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D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E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F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78B5B17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34214C5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BC69DC5" w14:textId="77777777" w:rsidR="004F1B70" w:rsidRDefault="004F1B70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2D9F5453" w14:textId="77777777" w:rsidR="004F1B70" w:rsidRDefault="004F1B70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5472D21D" w14:textId="77777777" w:rsidR="004F1B70" w:rsidRDefault="004F1B70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53F373D5" w14:textId="77777777" w:rsidR="004F1B70" w:rsidRDefault="004F1B70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3DAF8F4A" w14:textId="77777777" w:rsidR="004F1B70" w:rsidRDefault="004F1B70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318ECB7" w14:textId="77777777" w:rsidR="004F1B70" w:rsidRDefault="004F1B70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07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47B8EC9E" w14:textId="77777777" w:rsidR="006F6605" w:rsidRDefault="006F660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26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:rsidRPr="00E018C9" w14:paraId="1CA81C29" w14:textId="77777777" w:rsidTr="0009155B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</w:tcMar>
          </w:tcPr>
          <w:p w14:paraId="1CA81C28" w14:textId="7D67F468" w:rsidR="00E018C9" w:rsidRPr="00790A62" w:rsidRDefault="00DE2186" w:rsidP="00722D20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790A62">
              <w:rPr>
                <w:color w:val="FFFFFF" w:themeColor="background1"/>
                <w:lang w:val="en-US"/>
              </w:rPr>
              <w:br w:type="page"/>
            </w:r>
            <w:r w:rsidR="00E018C9" w:rsidRPr="00770ED4">
              <w:rPr>
                <w:b/>
                <w:color w:val="FFFFFF" w:themeColor="background1"/>
                <w:u w:val="single"/>
                <w:lang w:val="en-US"/>
              </w:rPr>
              <w:t xml:space="preserve">Specific </w:t>
            </w:r>
            <w:r w:rsidR="00770ED4" w:rsidRPr="00770ED4">
              <w:rPr>
                <w:b/>
                <w:color w:val="FFFFFF" w:themeColor="background1"/>
                <w:u w:val="single"/>
                <w:lang w:val="en-US"/>
              </w:rPr>
              <w:t>questions</w:t>
            </w:r>
            <w:r w:rsidR="00770ED4">
              <w:rPr>
                <w:b/>
                <w:color w:val="FFFFFF" w:themeColor="background1"/>
                <w:lang w:val="en-US"/>
              </w:rPr>
              <w:t xml:space="preserve"> on the draft </w:t>
            </w:r>
            <w:r w:rsidR="004F1B70" w:rsidRPr="004F1B70">
              <w:rPr>
                <w:b/>
                <w:color w:val="FFFFFF" w:themeColor="background1"/>
                <w:lang w:val="en-US"/>
              </w:rPr>
              <w:t>Health and Safety at Work (Hazardous Substances</w:t>
            </w:r>
            <w:r w:rsidR="004F1B70" w:rsidRPr="004F1B70">
              <w:rPr>
                <w:b/>
                <w:color w:val="FFFFFF" w:themeColor="background1"/>
                <w:lang w:val="en-US"/>
              </w:rPr>
              <w:softHyphen/>
            </w:r>
            <w:r w:rsidR="004F1B70" w:rsidRPr="004F1B70">
              <w:rPr>
                <w:b/>
                <w:color w:val="FFFFFF" w:themeColor="background1"/>
                <w:lang w:val="en-US"/>
              </w:rPr>
              <w:softHyphen/>
              <w:t>—</w:t>
            </w:r>
            <w:r w:rsidR="00722D20">
              <w:rPr>
                <w:b/>
                <w:color w:val="FFFFFF" w:themeColor="background1"/>
                <w:lang w:val="en-US"/>
              </w:rPr>
              <w:t>Requirements for Charging LPG Cylinders Other than by Approved Fillers</w:t>
            </w:r>
            <w:r w:rsidR="004F1B70" w:rsidRPr="004F1B70">
              <w:rPr>
                <w:b/>
                <w:color w:val="FFFFFF" w:themeColor="background1"/>
                <w:lang w:val="en-US"/>
              </w:rPr>
              <w:t>) Safe Work Instrument 2017</w:t>
            </w:r>
          </w:p>
        </w:tc>
      </w:tr>
      <w:tr w:rsidR="00E018C9" w14:paraId="1CA81C2B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224930C9" w14:textId="6CE15C0B" w:rsidR="00E018C9" w:rsidRDefault="00722D20" w:rsidP="00722D20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The proposed safe work instrument introduces the following new terminology:</w:t>
            </w:r>
          </w:p>
          <w:p w14:paraId="4AD68141" w14:textId="72FC0AB7" w:rsidR="00722D20" w:rsidRDefault="00722D20" w:rsidP="00722D20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National Trainers </w:t>
            </w:r>
            <w:r w:rsidR="00312286">
              <w:rPr>
                <w:lang w:val="en-US"/>
              </w:rPr>
              <w:t>become</w:t>
            </w:r>
            <w:r>
              <w:rPr>
                <w:lang w:val="en-US"/>
              </w:rPr>
              <w:t xml:space="preserve"> ‘LPGA appointed trainer’</w:t>
            </w:r>
            <w:r w:rsidR="00312286">
              <w:rPr>
                <w:lang w:val="en-US"/>
              </w:rPr>
              <w:t xml:space="preserve"> and Approved F</w:t>
            </w:r>
            <w:r>
              <w:rPr>
                <w:lang w:val="en-US"/>
              </w:rPr>
              <w:t xml:space="preserve">illers </w:t>
            </w:r>
            <w:r w:rsidR="003C7EE3">
              <w:rPr>
                <w:lang w:val="en-US"/>
              </w:rPr>
              <w:t>become</w:t>
            </w:r>
            <w:r>
              <w:rPr>
                <w:lang w:val="en-US"/>
              </w:rPr>
              <w:t xml:space="preserve"> ‘LPGA filler’</w:t>
            </w:r>
            <w:r w:rsidR="00312286">
              <w:rPr>
                <w:lang w:val="en-US"/>
              </w:rPr>
              <w:t>.</w:t>
            </w:r>
          </w:p>
          <w:p w14:paraId="6AF0A344" w14:textId="27227780" w:rsidR="00722D20" w:rsidRDefault="00722D20" w:rsidP="00722D20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We have introduced these new terms to make it clear that these relate to the LPGA training pr</w:t>
            </w:r>
            <w:r w:rsidR="00312286">
              <w:rPr>
                <w:lang w:val="en-US"/>
              </w:rPr>
              <w:t>ogramme, and to also distinguish between</w:t>
            </w:r>
            <w:r>
              <w:rPr>
                <w:lang w:val="en-US"/>
              </w:rPr>
              <w:t xml:space="preserve"> those </w:t>
            </w:r>
            <w:r w:rsidR="00312286">
              <w:rPr>
                <w:lang w:val="en-US"/>
              </w:rPr>
              <w:t>individuals who</w:t>
            </w:r>
            <w:r>
              <w:rPr>
                <w:lang w:val="en-US"/>
              </w:rPr>
              <w:t xml:space="preserve"> are ‘approved fillers’ under the </w:t>
            </w:r>
            <w:r w:rsidR="003C7EE3">
              <w:rPr>
                <w:lang w:val="en-US"/>
              </w:rPr>
              <w:t xml:space="preserve">Health and Safety at Work (Hazardous Substances) </w:t>
            </w:r>
            <w:r>
              <w:rPr>
                <w:lang w:val="en-US"/>
              </w:rPr>
              <w:t>Regulations and those who are</w:t>
            </w:r>
            <w:r w:rsidR="00312286">
              <w:rPr>
                <w:lang w:val="en-US"/>
              </w:rPr>
              <w:t xml:space="preserve"> authorised in accordance with this safe work instrument to charge LPG cylinders (‘LPGA fillers’).  </w:t>
            </w:r>
            <w:r>
              <w:rPr>
                <w:lang w:val="en-US"/>
              </w:rPr>
              <w:t xml:space="preserve"> </w:t>
            </w:r>
          </w:p>
          <w:p w14:paraId="1CA81C2A" w14:textId="50767198" w:rsidR="00722D20" w:rsidRDefault="00722D20" w:rsidP="00722D20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Do you agree with these proposed changes?   </w:t>
            </w:r>
          </w:p>
        </w:tc>
      </w:tr>
      <w:tr w:rsidR="00722D20" w14:paraId="35104E4F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780A0FE2" w14:textId="77777777" w:rsidR="00722D20" w:rsidRDefault="00722D20" w:rsidP="00722D20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722D20" w14:paraId="7FDF4D5B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4D98F441" w14:textId="77777777" w:rsidR="00722D20" w:rsidRDefault="00722D20" w:rsidP="00722D20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722D20" w14:paraId="1E47BAE6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3097A380" w14:textId="77777777" w:rsidR="00722D20" w:rsidRDefault="00722D20" w:rsidP="00722D20">
            <w:pPr>
              <w:spacing w:before="60" w:after="60" w:line="280" w:lineRule="atLeast"/>
              <w:rPr>
                <w:lang w:val="en-US"/>
              </w:rPr>
            </w:pPr>
          </w:p>
          <w:p w14:paraId="304F68E8" w14:textId="77777777" w:rsidR="00FE400C" w:rsidRDefault="00FE400C" w:rsidP="00722D20">
            <w:pPr>
              <w:spacing w:before="60" w:after="60" w:line="280" w:lineRule="atLeast"/>
              <w:rPr>
                <w:lang w:val="en-US"/>
              </w:rPr>
            </w:pPr>
          </w:p>
          <w:p w14:paraId="717865AB" w14:textId="77777777" w:rsidR="00FE400C" w:rsidRDefault="00FE400C" w:rsidP="00722D20">
            <w:pPr>
              <w:spacing w:before="60" w:after="60" w:line="280" w:lineRule="atLeast"/>
              <w:rPr>
                <w:lang w:val="en-US"/>
              </w:rPr>
            </w:pPr>
          </w:p>
          <w:p w14:paraId="44683A9E" w14:textId="77777777" w:rsidR="00312286" w:rsidRDefault="00312286" w:rsidP="00722D20">
            <w:pPr>
              <w:spacing w:before="60" w:after="60" w:line="280" w:lineRule="atLeast"/>
              <w:rPr>
                <w:lang w:val="en-US"/>
              </w:rPr>
            </w:pPr>
          </w:p>
          <w:p w14:paraId="34A7A3E8" w14:textId="77777777" w:rsidR="00312286" w:rsidRDefault="00312286" w:rsidP="00722D20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722D20" w14:paraId="7D6EFF7A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40D9C533" w14:textId="77777777" w:rsidR="00722D20" w:rsidRDefault="00722D20" w:rsidP="00722D20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FE400C" w14:paraId="1A734B06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5AD78E19" w14:textId="77777777" w:rsidR="00FE400C" w:rsidRDefault="00FE400C" w:rsidP="00722D20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FE400C" w14:paraId="4B21BD2B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53186689" w14:textId="11D6B75B" w:rsidR="00FE400C" w:rsidRPr="003C7EE3" w:rsidRDefault="00FE400C" w:rsidP="003C7EE3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The proposed safe work instrument introduces the requirement for the site trainer and LPGA filler to be ‘engaged or employed by a PCBU who is a member of the LPGA’.  This requirement is to ensure those organisations who are using the LPGA training and competence scheme </w:t>
            </w:r>
            <w:r w:rsidR="003C7EE3">
              <w:rPr>
                <w:lang w:val="en-US"/>
              </w:rPr>
              <w:t>provide</w:t>
            </w:r>
            <w:r>
              <w:rPr>
                <w:lang w:val="en-US"/>
              </w:rPr>
              <w:t xml:space="preserve"> required information </w:t>
            </w:r>
            <w:r w:rsidR="003C7EE3">
              <w:rPr>
                <w:lang w:val="en-US"/>
              </w:rPr>
              <w:t xml:space="preserve">to the LPGA for required quality assurance checks.  This information is necessary for reporting requirements to WorkSafe as part of the proposed agreement between WorkSafe and the LPGA.  </w:t>
            </w:r>
            <w:r>
              <w:rPr>
                <w:lang w:val="en-US"/>
              </w:rPr>
              <w:t xml:space="preserve"> Do you agree with this requirement?    </w:t>
            </w:r>
          </w:p>
          <w:p w14:paraId="5411D4E8" w14:textId="77777777" w:rsidR="00FE400C" w:rsidRDefault="00FE400C" w:rsidP="003C7EE3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FE400C" w14:paraId="395A0CBE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6863023F" w14:textId="77777777" w:rsidR="00FE400C" w:rsidRDefault="00FE400C" w:rsidP="00722D20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FE400C" w14:paraId="1333D738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4EA7B767" w14:textId="77777777" w:rsidR="00FE400C" w:rsidRDefault="00FE400C" w:rsidP="00722D20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FE400C" w14:paraId="54330508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46D428EE" w14:textId="77777777" w:rsidR="00FE400C" w:rsidRDefault="00FE400C" w:rsidP="00722D20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FE400C" w14:paraId="07C2EEF1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09EAD3D5" w14:textId="258A2ABC" w:rsidR="00FE400C" w:rsidRDefault="00FE400C" w:rsidP="00722D20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A transitional timeframe is provided in the proposed safe work instrument to allow site trainers and approved fillers who </w:t>
            </w:r>
            <w:r w:rsidR="003C7EE3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authorised to operate prior to the commencement of the </w:t>
            </w:r>
            <w:r w:rsidR="00956894">
              <w:rPr>
                <w:lang w:val="en-US"/>
              </w:rPr>
              <w:t>safe work instrument (1 December 2017)</w:t>
            </w:r>
            <w:r>
              <w:rPr>
                <w:lang w:val="en-US"/>
              </w:rPr>
              <w:t xml:space="preserve"> to continue </w:t>
            </w:r>
            <w:r w:rsidR="00956894">
              <w:rPr>
                <w:lang w:val="en-US"/>
              </w:rPr>
              <w:t xml:space="preserve">to operate under their existing authorisation </w:t>
            </w:r>
            <w:r>
              <w:rPr>
                <w:lang w:val="en-US"/>
              </w:rPr>
              <w:t xml:space="preserve">until 30 June 2018, at which time the proposed safe work instrumtn takes effect.  </w:t>
            </w:r>
          </w:p>
          <w:p w14:paraId="10CD43E9" w14:textId="77777777" w:rsidR="00FE400C" w:rsidRDefault="00FE400C" w:rsidP="00722D20">
            <w:pPr>
              <w:spacing w:before="60" w:after="60" w:line="280" w:lineRule="atLeast"/>
              <w:rPr>
                <w:lang w:val="en-US"/>
              </w:rPr>
            </w:pPr>
          </w:p>
          <w:p w14:paraId="4454E430" w14:textId="2CEEF974" w:rsidR="00FE400C" w:rsidRDefault="00FE400C" w:rsidP="00FE400C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956894" w14:paraId="50BB2E23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7E48FA67" w14:textId="77777777" w:rsidR="00956894" w:rsidRDefault="00956894" w:rsidP="00722D20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FE400C" w14:paraId="4D22B9C5" w14:textId="77777777" w:rsidTr="00FE400C">
        <w:trPr>
          <w:trHeight w:val="99"/>
        </w:trPr>
        <w:tc>
          <w:tcPr>
            <w:tcW w:w="10631" w:type="dxa"/>
            <w:tcBorders>
              <w:top w:val="nil"/>
              <w:bottom w:val="nil"/>
            </w:tcBorders>
          </w:tcPr>
          <w:p w14:paraId="5C553D6F" w14:textId="77777777" w:rsidR="00FE400C" w:rsidRDefault="00FE400C" w:rsidP="00722D20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FE400C" w14:paraId="7BF1FCC8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483D8A5D" w14:textId="77777777" w:rsidR="00FE400C" w:rsidRDefault="00FE400C" w:rsidP="00722D20">
            <w:pPr>
              <w:spacing w:before="60" w:after="60" w:line="280" w:lineRule="atLeast"/>
              <w:rPr>
                <w:lang w:val="en-US"/>
              </w:rPr>
            </w:pPr>
          </w:p>
        </w:tc>
      </w:tr>
      <w:bookmarkEnd w:id="1"/>
    </w:tbl>
    <w:p w14:paraId="0E9ADF10" w14:textId="77777777" w:rsidR="00312286" w:rsidRDefault="00312286" w:rsidP="003C7EE3">
      <w:pPr>
        <w:spacing w:before="60" w:after="60" w:line="280" w:lineRule="atLeast"/>
        <w:rPr>
          <w:lang w:val="en-US"/>
        </w:rPr>
      </w:pPr>
    </w:p>
    <w:p w14:paraId="37E5E422" w14:textId="0C1EEB1D" w:rsidR="00956894" w:rsidRDefault="00956894" w:rsidP="003C7EE3">
      <w:pPr>
        <w:spacing w:before="60" w:after="60" w:line="280" w:lineRule="atLeast"/>
        <w:rPr>
          <w:lang w:val="en-US"/>
        </w:rPr>
      </w:pPr>
      <w:r>
        <w:rPr>
          <w:lang w:val="en-US"/>
        </w:rPr>
        <w:t xml:space="preserve">The safe work instrument proposes that a certificate of training is issued to an individual on completion of the LPGA training to authorise them to be LPGA fillers.  </w:t>
      </w:r>
    </w:p>
    <w:p w14:paraId="0E4870E0" w14:textId="43669ED5" w:rsidR="00956894" w:rsidRDefault="00956894" w:rsidP="003C7EE3">
      <w:pPr>
        <w:spacing w:before="60" w:after="60" w:line="280" w:lineRule="atLeast"/>
        <w:rPr>
          <w:lang w:val="en-US"/>
        </w:rPr>
      </w:pPr>
      <w:r>
        <w:rPr>
          <w:lang w:val="en-US"/>
        </w:rPr>
        <w:t xml:space="preserve">The certificate will record the persons name and the organisation they are employed or engaged </w:t>
      </w:r>
      <w:r w:rsidR="003C7EE3">
        <w:rPr>
          <w:lang w:val="en-US"/>
        </w:rPr>
        <w:t>by</w:t>
      </w:r>
      <w:r>
        <w:rPr>
          <w:lang w:val="en-US"/>
        </w:rPr>
        <w:t>.  However, do you think the certificate should also record the physical locations that the LPGA filler</w:t>
      </w:r>
      <w:r w:rsidR="003C7EE3">
        <w:rPr>
          <w:lang w:val="en-US"/>
        </w:rPr>
        <w:t xml:space="preserve"> will be charging cylinders at?  </w:t>
      </w:r>
      <w:r>
        <w:rPr>
          <w:lang w:val="en-US"/>
        </w:rPr>
        <w:t xml:space="preserve">For example, should an organisation have multiple work sites, these could </w:t>
      </w:r>
      <w:r w:rsidR="003C7EE3">
        <w:rPr>
          <w:lang w:val="en-US"/>
        </w:rPr>
        <w:t xml:space="preserve">all </w:t>
      </w:r>
      <w:r>
        <w:rPr>
          <w:lang w:val="en-US"/>
        </w:rPr>
        <w:t xml:space="preserve">be recorded on the certificate as the locations where the LPGA filler </w:t>
      </w:r>
      <w:r w:rsidR="003C7EE3">
        <w:rPr>
          <w:lang w:val="en-US"/>
        </w:rPr>
        <w:t xml:space="preserve">is authorised to charge cylinders. </w:t>
      </w:r>
      <w:r>
        <w:rPr>
          <w:lang w:val="en-US"/>
        </w:rPr>
        <w:t xml:space="preserve"> </w:t>
      </w:r>
    </w:p>
    <w:p w14:paraId="096DCA04" w14:textId="77777777" w:rsidR="00956894" w:rsidRDefault="00956894" w:rsidP="00F5046C">
      <w:pPr>
        <w:rPr>
          <w:lang w:val="en-US"/>
        </w:rPr>
      </w:pPr>
    </w:p>
    <w:sectPr w:rsidR="00956894" w:rsidSect="00F50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1FF0" w14:textId="77777777" w:rsidR="008E62F4" w:rsidRDefault="008E62F4" w:rsidP="005413ED">
      <w:pPr>
        <w:spacing w:after="0" w:line="240" w:lineRule="auto"/>
      </w:pPr>
      <w:r>
        <w:separator/>
      </w:r>
    </w:p>
  </w:endnote>
  <w:endnote w:type="continuationSeparator" w:id="0">
    <w:p w14:paraId="1CA81FF1" w14:textId="77777777" w:rsidR="008E62F4" w:rsidRDefault="008E62F4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4B6DA" w14:textId="77777777" w:rsidR="007E71A8" w:rsidRDefault="007E7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C5D8" w14:textId="77777777" w:rsidR="003C7EE3" w:rsidRDefault="003C7EE3" w:rsidP="00DF738B">
    <w:pPr>
      <w:pStyle w:val="Footer"/>
      <w:jc w:val="center"/>
    </w:pPr>
    <w:r>
      <w:t>WORKSAFE NZ-69772963</w:t>
    </w:r>
  </w:p>
  <w:p w14:paraId="284A38C3" w14:textId="3601B49D" w:rsidR="00DF738B" w:rsidRPr="00BC301F" w:rsidRDefault="007E71A8" w:rsidP="00DF738B">
    <w:pPr>
      <w:pStyle w:val="Footer"/>
      <w:jc w:val="center"/>
    </w:pPr>
    <w:sdt>
      <w:sdtPr>
        <w:id w:val="12251788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38B" w:rsidRPr="00BC301F">
          <w:fldChar w:fldCharType="begin"/>
        </w:r>
        <w:r w:rsidR="00DF738B" w:rsidRPr="00BC301F">
          <w:instrText xml:space="preserve"> PAGE   \* MERGEFORMAT </w:instrText>
        </w:r>
        <w:r w:rsidR="00DF738B" w:rsidRPr="00BC301F">
          <w:fldChar w:fldCharType="separate"/>
        </w:r>
        <w:r>
          <w:rPr>
            <w:noProof/>
          </w:rPr>
          <w:t>2</w:t>
        </w:r>
        <w:r w:rsidR="00DF738B" w:rsidRPr="00BC301F">
          <w:rPr>
            <w:noProof/>
          </w:rPr>
          <w:fldChar w:fldCharType="end"/>
        </w:r>
      </w:sdtContent>
    </w:sdt>
  </w:p>
  <w:p w14:paraId="4EBACD75" w14:textId="6CF168BB" w:rsidR="00642845" w:rsidRPr="0009155B" w:rsidRDefault="00642845" w:rsidP="00DF738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D6FD" w14:textId="77777777" w:rsidR="003C7EE3" w:rsidRDefault="003C7EE3" w:rsidP="00DF738B">
    <w:pPr>
      <w:pStyle w:val="Footer"/>
      <w:jc w:val="center"/>
    </w:pPr>
    <w:r>
      <w:t>WORKSAFE NZ-69772963</w:t>
    </w:r>
  </w:p>
  <w:p w14:paraId="392144A4" w14:textId="0B936CDB" w:rsidR="00DF738B" w:rsidRPr="001C7DB4" w:rsidRDefault="007E71A8" w:rsidP="00DF738B">
    <w:pPr>
      <w:pStyle w:val="Footer"/>
      <w:jc w:val="center"/>
    </w:pPr>
    <w:sdt>
      <w:sdtPr>
        <w:id w:val="906506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38B" w:rsidRPr="001C7DB4">
          <w:fldChar w:fldCharType="begin"/>
        </w:r>
        <w:r w:rsidR="00DF738B" w:rsidRPr="001C7DB4">
          <w:instrText xml:space="preserve"> PAGE   \* MERGEFORMAT </w:instrText>
        </w:r>
        <w:r w:rsidR="00DF738B" w:rsidRPr="001C7DB4">
          <w:fldChar w:fldCharType="separate"/>
        </w:r>
        <w:r>
          <w:rPr>
            <w:noProof/>
          </w:rPr>
          <w:t>1</w:t>
        </w:r>
        <w:r w:rsidR="00DF738B" w:rsidRPr="001C7DB4">
          <w:rPr>
            <w:noProof/>
          </w:rPr>
          <w:fldChar w:fldCharType="end"/>
        </w:r>
      </w:sdtContent>
    </w:sdt>
  </w:p>
  <w:p w14:paraId="061BB35B" w14:textId="57D8A449" w:rsidR="00642845" w:rsidRPr="0009155B" w:rsidRDefault="00DF738B" w:rsidP="00DF738B">
    <w:pPr>
      <w:pStyle w:val="Footer"/>
      <w:jc w:val="right"/>
    </w:pPr>
    <w:r>
      <w:rPr>
        <w:noProof/>
        <w:lang w:eastAsia="en-NZ"/>
      </w:rPr>
      <w:drawing>
        <wp:anchor distT="0" distB="0" distL="114300" distR="114300" simplePos="0" relativeHeight="251661312" behindDoc="1" locked="1" layoutInCell="1" allowOverlap="1" wp14:anchorId="2D23609C" wp14:editId="4C39E7B2">
          <wp:simplePos x="0" y="0"/>
          <wp:positionH relativeFrom="column">
            <wp:posOffset>-461010</wp:posOffset>
          </wp:positionH>
          <wp:positionV relativeFrom="paragraph">
            <wp:posOffset>-438150</wp:posOffset>
          </wp:positionV>
          <wp:extent cx="3038475" cy="1028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7" r="59687"/>
                  <a:stretch/>
                </pic:blipFill>
                <pic:spPr bwMode="auto">
                  <a:xfrm>
                    <a:off x="0" y="0"/>
                    <a:ext cx="30384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1FEE" w14:textId="77777777" w:rsidR="008E62F4" w:rsidRDefault="008E62F4" w:rsidP="005413ED">
      <w:pPr>
        <w:spacing w:after="0" w:line="240" w:lineRule="auto"/>
      </w:pPr>
      <w:r>
        <w:separator/>
      </w:r>
    </w:p>
  </w:footnote>
  <w:footnote w:type="continuationSeparator" w:id="0">
    <w:p w14:paraId="1CA81FEF" w14:textId="77777777" w:rsidR="008E62F4" w:rsidRDefault="008E62F4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590BC" w14:textId="77777777" w:rsidR="007E71A8" w:rsidRDefault="007E7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FE7F" w14:textId="77777777" w:rsidR="007E71A8" w:rsidRDefault="007E7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8D2" w14:textId="20489EA6" w:rsidR="00013182" w:rsidRDefault="00DF738B">
    <w:pPr>
      <w:pStyle w:val="Header"/>
    </w:pPr>
    <w:r w:rsidRPr="00F74754">
      <w:rPr>
        <w:noProof/>
        <w:color w:val="1F497D" w:themeColor="text2"/>
        <w:lang w:eastAsia="en-NZ"/>
      </w:rPr>
      <w:drawing>
        <wp:anchor distT="0" distB="0" distL="114300" distR="114300" simplePos="0" relativeHeight="251659264" behindDoc="1" locked="1" layoutInCell="1" allowOverlap="1" wp14:anchorId="1CFB08FE" wp14:editId="217080AA">
          <wp:simplePos x="0" y="0"/>
          <wp:positionH relativeFrom="column">
            <wp:posOffset>-343535</wp:posOffset>
          </wp:positionH>
          <wp:positionV relativeFrom="paragraph">
            <wp:posOffset>-448310</wp:posOffset>
          </wp:positionV>
          <wp:extent cx="7541895" cy="5435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11"/>
                  <a:stretch/>
                </pic:blipFill>
                <pic:spPr bwMode="auto">
                  <a:xfrm>
                    <a:off x="0" y="0"/>
                    <a:ext cx="754189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727AE"/>
    <w:multiLevelType w:val="multilevel"/>
    <w:tmpl w:val="200CB116"/>
    <w:lvl w:ilvl="0">
      <w:start w:val="1"/>
      <w:numFmt w:val="decimal"/>
      <w:pStyle w:val="Body1provision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ody11numberedsubprovisio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ody11aparagraph"/>
      <w:lvlText w:val="(%3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lowerRoman"/>
      <w:pStyle w:val="Body11aisubparagraph"/>
      <w:lvlText w:val="(%4)"/>
      <w:lvlJc w:val="left"/>
      <w:pPr>
        <w:tabs>
          <w:tab w:val="num" w:pos="1814"/>
        </w:tabs>
        <w:ind w:left="1814" w:hanging="510"/>
      </w:pPr>
      <w:rPr>
        <w:rFonts w:hint="default"/>
      </w:rPr>
    </w:lvl>
    <w:lvl w:ilvl="4">
      <w:start w:val="1"/>
      <w:numFmt w:val="upperLetter"/>
      <w:pStyle w:val="Body11aiAsubsubparagraph"/>
      <w:lvlText w:val="(%5)"/>
      <w:lvlJc w:val="left"/>
      <w:pPr>
        <w:tabs>
          <w:tab w:val="num" w:pos="2438"/>
        </w:tabs>
        <w:ind w:left="2438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38"/>
        </w:tabs>
        <w:ind w:left="2438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2438"/>
        </w:tabs>
        <w:ind w:left="2438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2438"/>
        </w:tabs>
        <w:ind w:left="2438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2438"/>
        </w:tabs>
        <w:ind w:left="2438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hideSpellingErrors/>
  <w:hideGrammaticalError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430A"/>
    <w:rsid w:val="000054FA"/>
    <w:rsid w:val="00013182"/>
    <w:rsid w:val="000173AA"/>
    <w:rsid w:val="000900FE"/>
    <w:rsid w:val="0009155B"/>
    <w:rsid w:val="000C662C"/>
    <w:rsid w:val="000E6AFC"/>
    <w:rsid w:val="00100E64"/>
    <w:rsid w:val="00154250"/>
    <w:rsid w:val="00174C36"/>
    <w:rsid w:val="001E5100"/>
    <w:rsid w:val="001F5A26"/>
    <w:rsid w:val="00244383"/>
    <w:rsid w:val="00244D76"/>
    <w:rsid w:val="002621F2"/>
    <w:rsid w:val="0026504F"/>
    <w:rsid w:val="002A4240"/>
    <w:rsid w:val="002A6C8C"/>
    <w:rsid w:val="002C333C"/>
    <w:rsid w:val="002D3A21"/>
    <w:rsid w:val="002F22D5"/>
    <w:rsid w:val="002F27AD"/>
    <w:rsid w:val="00312286"/>
    <w:rsid w:val="003160B6"/>
    <w:rsid w:val="00330535"/>
    <w:rsid w:val="003531D8"/>
    <w:rsid w:val="00361DE8"/>
    <w:rsid w:val="00382073"/>
    <w:rsid w:val="003C5724"/>
    <w:rsid w:val="003C7EE3"/>
    <w:rsid w:val="003D1713"/>
    <w:rsid w:val="003F15E5"/>
    <w:rsid w:val="004573DC"/>
    <w:rsid w:val="0049715A"/>
    <w:rsid w:val="004B6863"/>
    <w:rsid w:val="004E59F5"/>
    <w:rsid w:val="004F1B70"/>
    <w:rsid w:val="00534422"/>
    <w:rsid w:val="005413ED"/>
    <w:rsid w:val="005450A2"/>
    <w:rsid w:val="0057108C"/>
    <w:rsid w:val="005A2988"/>
    <w:rsid w:val="005D0F75"/>
    <w:rsid w:val="005D4C71"/>
    <w:rsid w:val="00625088"/>
    <w:rsid w:val="00642845"/>
    <w:rsid w:val="006462D1"/>
    <w:rsid w:val="00654E77"/>
    <w:rsid w:val="00676D49"/>
    <w:rsid w:val="006D4B06"/>
    <w:rsid w:val="006F0DA1"/>
    <w:rsid w:val="006F6605"/>
    <w:rsid w:val="00710E01"/>
    <w:rsid w:val="00722D20"/>
    <w:rsid w:val="007348EA"/>
    <w:rsid w:val="00767BCC"/>
    <w:rsid w:val="00770ED4"/>
    <w:rsid w:val="00774F3C"/>
    <w:rsid w:val="00790A62"/>
    <w:rsid w:val="007A7C3C"/>
    <w:rsid w:val="007C10C1"/>
    <w:rsid w:val="007C412B"/>
    <w:rsid w:val="007D6A27"/>
    <w:rsid w:val="007E1F31"/>
    <w:rsid w:val="007E71A8"/>
    <w:rsid w:val="00815C0E"/>
    <w:rsid w:val="00825D65"/>
    <w:rsid w:val="00826671"/>
    <w:rsid w:val="00835852"/>
    <w:rsid w:val="008659C0"/>
    <w:rsid w:val="00880FA4"/>
    <w:rsid w:val="008961DC"/>
    <w:rsid w:val="008A1B43"/>
    <w:rsid w:val="008A6DBF"/>
    <w:rsid w:val="008C0278"/>
    <w:rsid w:val="008E37EF"/>
    <w:rsid w:val="008E62F4"/>
    <w:rsid w:val="009034F0"/>
    <w:rsid w:val="009225CF"/>
    <w:rsid w:val="00930EEA"/>
    <w:rsid w:val="00956894"/>
    <w:rsid w:val="00975C1B"/>
    <w:rsid w:val="009A344C"/>
    <w:rsid w:val="009B4D3D"/>
    <w:rsid w:val="009D1FC7"/>
    <w:rsid w:val="009F6353"/>
    <w:rsid w:val="00A00F51"/>
    <w:rsid w:val="00A33840"/>
    <w:rsid w:val="00A41D40"/>
    <w:rsid w:val="00A47C4B"/>
    <w:rsid w:val="00A858EE"/>
    <w:rsid w:val="00AB09FE"/>
    <w:rsid w:val="00AE3A25"/>
    <w:rsid w:val="00B01E6F"/>
    <w:rsid w:val="00B07A5B"/>
    <w:rsid w:val="00B505E4"/>
    <w:rsid w:val="00B53ED7"/>
    <w:rsid w:val="00B73EC0"/>
    <w:rsid w:val="00B74A34"/>
    <w:rsid w:val="00B751C6"/>
    <w:rsid w:val="00B96521"/>
    <w:rsid w:val="00BD2A51"/>
    <w:rsid w:val="00BD722E"/>
    <w:rsid w:val="00BE29C1"/>
    <w:rsid w:val="00BE3783"/>
    <w:rsid w:val="00BF0992"/>
    <w:rsid w:val="00C97C20"/>
    <w:rsid w:val="00CC46AA"/>
    <w:rsid w:val="00D10011"/>
    <w:rsid w:val="00D177EF"/>
    <w:rsid w:val="00D17E40"/>
    <w:rsid w:val="00D57991"/>
    <w:rsid w:val="00D7532B"/>
    <w:rsid w:val="00D87B35"/>
    <w:rsid w:val="00DA71E4"/>
    <w:rsid w:val="00DC2544"/>
    <w:rsid w:val="00DE2186"/>
    <w:rsid w:val="00DF738B"/>
    <w:rsid w:val="00E018C9"/>
    <w:rsid w:val="00E2284B"/>
    <w:rsid w:val="00E230BD"/>
    <w:rsid w:val="00E6488B"/>
    <w:rsid w:val="00EA1A8E"/>
    <w:rsid w:val="00EA50E5"/>
    <w:rsid w:val="00EC08C8"/>
    <w:rsid w:val="00EC70D9"/>
    <w:rsid w:val="00ED7845"/>
    <w:rsid w:val="00F23DE2"/>
    <w:rsid w:val="00F5046C"/>
    <w:rsid w:val="00F81304"/>
    <w:rsid w:val="00FA133A"/>
    <w:rsid w:val="00FD11FD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CA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  <w:style w:type="paragraph" w:customStyle="1" w:styleId="Body11numberedsubprovision">
    <w:name w:val="Body: 1(1) numbered subprovision"/>
    <w:basedOn w:val="Normal"/>
    <w:uiPriority w:val="7"/>
    <w:qFormat/>
    <w:rsid w:val="00312286"/>
    <w:pPr>
      <w:numPr>
        <w:ilvl w:val="1"/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ody11aparagraph">
    <w:name w:val="Body: 1(1)(a) paragraph"/>
    <w:basedOn w:val="Body11numberedsubprovision"/>
    <w:uiPriority w:val="7"/>
    <w:qFormat/>
    <w:rsid w:val="00312286"/>
    <w:pPr>
      <w:numPr>
        <w:ilvl w:val="2"/>
      </w:numPr>
    </w:pPr>
    <w:rPr>
      <w:iCs/>
    </w:rPr>
  </w:style>
  <w:style w:type="paragraph" w:customStyle="1" w:styleId="Body1provisionheading">
    <w:name w:val="Body: 1 provision heading"/>
    <w:basedOn w:val="Normal"/>
    <w:next w:val="Body11numberedsubprovision"/>
    <w:uiPriority w:val="6"/>
    <w:qFormat/>
    <w:rsid w:val="00312286"/>
    <w:pPr>
      <w:keepNext/>
      <w:numPr>
        <w:numId w:val="6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en-NZ"/>
    </w:rPr>
  </w:style>
  <w:style w:type="paragraph" w:customStyle="1" w:styleId="Body11aisubparagraph">
    <w:name w:val="Body: 1(1)(a)(i) subparagraph"/>
    <w:basedOn w:val="Body11aparagraph"/>
    <w:uiPriority w:val="7"/>
    <w:qFormat/>
    <w:rsid w:val="00312286"/>
    <w:pPr>
      <w:numPr>
        <w:ilvl w:val="3"/>
      </w:numPr>
    </w:pPr>
  </w:style>
  <w:style w:type="paragraph" w:customStyle="1" w:styleId="Body11aiAsubsubparagraph">
    <w:name w:val="Body: 1(1)(a)(i)(A) subsubparagraph"/>
    <w:basedOn w:val="Body11aparagraph"/>
    <w:uiPriority w:val="7"/>
    <w:qFormat/>
    <w:rsid w:val="00312286"/>
    <w:pPr>
      <w:numPr>
        <w:ilvl w:val="4"/>
      </w:numPr>
    </w:pPr>
  </w:style>
  <w:style w:type="paragraph" w:customStyle="1" w:styleId="Pa8">
    <w:name w:val="Pa8"/>
    <w:basedOn w:val="Default"/>
    <w:next w:val="Default"/>
    <w:uiPriority w:val="99"/>
    <w:rsid w:val="00FE400C"/>
    <w:pPr>
      <w:spacing w:line="171" w:lineRule="atLeast"/>
    </w:pPr>
    <w:rPr>
      <w:rFonts w:ascii="Gotham Book" w:hAnsi="Gotham Book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  <w:style w:type="paragraph" w:customStyle="1" w:styleId="Body11numberedsubprovision">
    <w:name w:val="Body: 1(1) numbered subprovision"/>
    <w:basedOn w:val="Normal"/>
    <w:uiPriority w:val="7"/>
    <w:qFormat/>
    <w:rsid w:val="00312286"/>
    <w:pPr>
      <w:numPr>
        <w:ilvl w:val="1"/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ody11aparagraph">
    <w:name w:val="Body: 1(1)(a) paragraph"/>
    <w:basedOn w:val="Body11numberedsubprovision"/>
    <w:uiPriority w:val="7"/>
    <w:qFormat/>
    <w:rsid w:val="00312286"/>
    <w:pPr>
      <w:numPr>
        <w:ilvl w:val="2"/>
      </w:numPr>
    </w:pPr>
    <w:rPr>
      <w:iCs/>
    </w:rPr>
  </w:style>
  <w:style w:type="paragraph" w:customStyle="1" w:styleId="Body1provisionheading">
    <w:name w:val="Body: 1 provision heading"/>
    <w:basedOn w:val="Normal"/>
    <w:next w:val="Body11numberedsubprovision"/>
    <w:uiPriority w:val="6"/>
    <w:qFormat/>
    <w:rsid w:val="00312286"/>
    <w:pPr>
      <w:keepNext/>
      <w:numPr>
        <w:numId w:val="6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en-NZ"/>
    </w:rPr>
  </w:style>
  <w:style w:type="paragraph" w:customStyle="1" w:styleId="Body11aisubparagraph">
    <w:name w:val="Body: 1(1)(a)(i) subparagraph"/>
    <w:basedOn w:val="Body11aparagraph"/>
    <w:uiPriority w:val="7"/>
    <w:qFormat/>
    <w:rsid w:val="00312286"/>
    <w:pPr>
      <w:numPr>
        <w:ilvl w:val="3"/>
      </w:numPr>
    </w:pPr>
  </w:style>
  <w:style w:type="paragraph" w:customStyle="1" w:styleId="Body11aiAsubsubparagraph">
    <w:name w:val="Body: 1(1)(a)(i)(A) subsubparagraph"/>
    <w:basedOn w:val="Body11aparagraph"/>
    <w:uiPriority w:val="7"/>
    <w:qFormat/>
    <w:rsid w:val="00312286"/>
    <w:pPr>
      <w:numPr>
        <w:ilvl w:val="4"/>
      </w:numPr>
    </w:pPr>
  </w:style>
  <w:style w:type="paragraph" w:customStyle="1" w:styleId="Pa8">
    <w:name w:val="Pa8"/>
    <w:basedOn w:val="Default"/>
    <w:next w:val="Default"/>
    <w:uiPriority w:val="99"/>
    <w:rsid w:val="00FE400C"/>
    <w:pPr>
      <w:spacing w:line="171" w:lineRule="atLeast"/>
    </w:pPr>
    <w:rPr>
      <w:rFonts w:ascii="Gotham Book" w:hAnsi="Gotham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orksafe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ulatory.Frameworks@worksafe.govt.n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63A0-D9AD-40D0-84BF-38760BF2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AFDBDC78.dotm</Template>
  <TotalTime>0</TotalTime>
  <Pages>3</Pages>
  <Words>595</Words>
  <Characters>3261</Characters>
  <Application>Microsoft Office Word</Application>
  <DocSecurity>0</DocSecurity>
  <Lines>105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Hazardous Substances Safe Work Instruments Response Form</dc:title>
  <dc:creator/>
  <cp:lastModifiedBy/>
  <cp:revision>1</cp:revision>
  <dcterms:created xsi:type="dcterms:W3CDTF">2017-10-10T20:59:00Z</dcterms:created>
  <dcterms:modified xsi:type="dcterms:W3CDTF">2017-10-10T20:59:00Z</dcterms:modified>
</cp:coreProperties>
</file>